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7C" w:rsidRPr="003C24FA" w:rsidRDefault="0000676D" w:rsidP="00AA0BF4">
      <w:pPr>
        <w:spacing w:line="460" w:lineRule="exact"/>
        <w:jc w:val="center"/>
        <w:rPr>
          <w:rFonts w:eastAsia="標楷體"/>
          <w:bCs/>
          <w:color w:val="000000" w:themeColor="text1"/>
          <w:sz w:val="40"/>
          <w:szCs w:val="40"/>
        </w:rPr>
      </w:pPr>
      <w:bookmarkStart w:id="0" w:name="_GoBack"/>
      <w:r w:rsidRPr="003C24FA">
        <w:rPr>
          <w:rFonts w:eastAsia="標楷體" w:hint="eastAsia"/>
          <w:bCs/>
          <w:color w:val="000000" w:themeColor="text1"/>
          <w:sz w:val="40"/>
          <w:szCs w:val="40"/>
        </w:rPr>
        <w:t>臺中市政府托育服務</w:t>
      </w:r>
      <w:r w:rsidR="00260107" w:rsidRPr="003C24FA">
        <w:rPr>
          <w:rFonts w:eastAsia="標楷體" w:hint="eastAsia"/>
          <w:bCs/>
          <w:color w:val="000000" w:themeColor="text1"/>
          <w:sz w:val="40"/>
          <w:szCs w:val="40"/>
        </w:rPr>
        <w:t>管理委員會</w:t>
      </w:r>
      <w:r w:rsidR="00F57888" w:rsidRPr="003C24FA">
        <w:rPr>
          <w:rFonts w:eastAsia="標楷體" w:hint="eastAsia"/>
          <w:bCs/>
          <w:color w:val="000000" w:themeColor="text1"/>
          <w:sz w:val="40"/>
          <w:szCs w:val="40"/>
        </w:rPr>
        <w:t>設置</w:t>
      </w:r>
      <w:r w:rsidR="00260107" w:rsidRPr="003C24FA">
        <w:rPr>
          <w:rFonts w:eastAsia="標楷體" w:hint="eastAsia"/>
          <w:bCs/>
          <w:color w:val="000000" w:themeColor="text1"/>
          <w:sz w:val="40"/>
          <w:szCs w:val="40"/>
        </w:rPr>
        <w:t>要點</w:t>
      </w:r>
      <w:bookmarkEnd w:id="0"/>
      <w:r w:rsidR="00260107" w:rsidRPr="003C24FA">
        <w:rPr>
          <w:rFonts w:eastAsia="標楷體" w:hint="eastAsia"/>
          <w:bCs/>
          <w:color w:val="000000" w:themeColor="text1"/>
          <w:sz w:val="40"/>
          <w:szCs w:val="40"/>
        </w:rPr>
        <w:t>總說明</w:t>
      </w:r>
    </w:p>
    <w:p w:rsidR="00D61CC6" w:rsidRPr="00B21AC8" w:rsidRDefault="00D61CC6" w:rsidP="00D61CC6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24FA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兒童及少年福利</w:t>
      </w:r>
      <w:r w:rsidR="00235F31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權益保障法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第二十五條規定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「直轄市、縣(市)主管機關應以首長為召集人，邀集學者或專家、居家托育員代表、兒童及少年福利團體代表、家長團體代表、婦女團體代表、勞工團體代表，協調、研究、審議及諮詢居家式托育服務、收退費、人員薪資、監督考核等相關事宜，並建立運作管理機制，應自行或委託相關專業</w:t>
      </w:r>
      <w:r w:rsidR="009814D4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機構、團體辦理。」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為提升及管理居家式及托嬰中心托育服務品質，並建置本市托育管理機制，爰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訂定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「臺中市政府托育服務管理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="0036147E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設置</w:t>
      </w:r>
      <w:r w:rsidR="00260107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  <w:r w:rsidR="00CB08E9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6297C" w:rsidRPr="00B21AC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297C" w:rsidRPr="00AA0BF4" w:rsidRDefault="00E6297C" w:rsidP="00D61CC6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CB08E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887E93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D55E95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08E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訂定要點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AA0BF4" w:rsidRPr="00AA0BF4" w:rsidRDefault="00A717F6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本要點訂定之依據</w:t>
      </w:r>
      <w:r w:rsidR="00E6297C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。（第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E6297C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點）</w:t>
      </w:r>
    </w:p>
    <w:p w:rsidR="00AA0BF4" w:rsidRDefault="00CB08E9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臺中市政府托育服務管理委員會(以下稱</w:t>
      </w:r>
      <w:r w:rsidR="00A717F6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本委員會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17F6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之任務</w:t>
      </w:r>
      <w:r w:rsidR="00DB19AD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。（第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DB19AD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點）</w:t>
      </w:r>
    </w:p>
    <w:p w:rsidR="00AA0BF4" w:rsidRDefault="00A717F6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本委員會</w:t>
      </w:r>
      <w:r w:rsidRPr="00AA0BF4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成員人數</w:t>
      </w:r>
      <w:r w:rsidR="00887E93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聘任方式</w:t>
      </w:r>
      <w:r w:rsidR="00887E93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、任期及出缺時之補聘方式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。（第三點）</w:t>
      </w:r>
    </w:p>
    <w:p w:rsidR="00AA0BF4" w:rsidRDefault="00F57888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本委員會之開會方式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。（第四點）</w:t>
      </w:r>
    </w:p>
    <w:p w:rsidR="00AA0BF4" w:rsidRPr="00AA0BF4" w:rsidRDefault="003228B3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本委員會對不適任托育人員資格、托育服務收退費之審議方式</w:t>
      </w:r>
      <w:r w:rsidR="0036147E"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。</w:t>
      </w:r>
      <w:r w:rsidR="006B70A9"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（第五點）</w:t>
      </w:r>
    </w:p>
    <w:p w:rsidR="00AA0BF4" w:rsidRDefault="00F57888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本委員會對外</w:t>
      </w:r>
      <w:r w:rsidR="0000112D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文之方式。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（第六點）</w:t>
      </w:r>
    </w:p>
    <w:p w:rsidR="00AA0BF4" w:rsidRDefault="00F57888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本委員會兼任人員均為無給職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。（第七點）</w:t>
      </w:r>
    </w:p>
    <w:p w:rsidR="006B70A9" w:rsidRPr="00AA0BF4" w:rsidRDefault="00F57888" w:rsidP="00AA0BF4">
      <w:pPr>
        <w:pStyle w:val="af0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本委員會所需經費由</w:t>
      </w:r>
      <w:r w:rsidR="00B40FBE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本府</w:t>
      </w:r>
      <w:r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社會局編列預算支應</w:t>
      </w:r>
      <w:r w:rsidR="0036147E" w:rsidRPr="00AA0BF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。</w:t>
      </w:r>
      <w:r w:rsidR="006B70A9" w:rsidRPr="00AA0BF4">
        <w:rPr>
          <w:rFonts w:ascii="標楷體" w:eastAsia="標楷體" w:hAnsi="標楷體" w:hint="eastAsia"/>
          <w:color w:val="000000" w:themeColor="text1"/>
          <w:sz w:val="28"/>
          <w:szCs w:val="28"/>
        </w:rPr>
        <w:t>（第八點）</w:t>
      </w:r>
    </w:p>
    <w:p w:rsidR="00E6297C" w:rsidRPr="00B21AC8" w:rsidRDefault="00E6297C" w:rsidP="00093B40">
      <w:pPr>
        <w:spacing w:before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7888" w:rsidRPr="003C24FA" w:rsidRDefault="00F57888" w:rsidP="00093B40">
      <w:pPr>
        <w:spacing w:before="40" w:line="460" w:lineRule="exact"/>
        <w:rPr>
          <w:rFonts w:eastAsia="標楷體"/>
          <w:color w:val="000000" w:themeColor="text1"/>
          <w:sz w:val="28"/>
          <w:szCs w:val="28"/>
        </w:rPr>
      </w:pPr>
    </w:p>
    <w:p w:rsidR="00F57888" w:rsidRPr="003C24FA" w:rsidRDefault="00F57888" w:rsidP="00093B40">
      <w:pPr>
        <w:spacing w:before="40" w:line="460" w:lineRule="exact"/>
        <w:rPr>
          <w:rFonts w:eastAsia="標楷體"/>
          <w:color w:val="000000" w:themeColor="text1"/>
          <w:sz w:val="28"/>
          <w:szCs w:val="28"/>
        </w:rPr>
      </w:pPr>
    </w:p>
    <w:p w:rsidR="00F57888" w:rsidRPr="003C24FA" w:rsidRDefault="00F57888" w:rsidP="00093B40">
      <w:pPr>
        <w:spacing w:before="40" w:line="460" w:lineRule="exact"/>
        <w:rPr>
          <w:rFonts w:eastAsia="標楷體"/>
          <w:color w:val="000000" w:themeColor="text1"/>
          <w:sz w:val="28"/>
          <w:szCs w:val="28"/>
        </w:rPr>
      </w:pPr>
    </w:p>
    <w:p w:rsidR="00F57888" w:rsidRPr="003C24FA" w:rsidRDefault="00F57888" w:rsidP="00093B40">
      <w:pPr>
        <w:spacing w:before="40" w:line="460" w:lineRule="exact"/>
        <w:rPr>
          <w:rFonts w:eastAsia="標楷體"/>
          <w:color w:val="000000" w:themeColor="text1"/>
          <w:sz w:val="32"/>
        </w:rPr>
      </w:pPr>
    </w:p>
    <w:p w:rsidR="00E6297C" w:rsidRPr="003C24FA" w:rsidRDefault="00E6297C" w:rsidP="00093B40">
      <w:pPr>
        <w:spacing w:line="460" w:lineRule="exact"/>
        <w:rPr>
          <w:color w:val="000000" w:themeColor="text1"/>
        </w:rPr>
      </w:pPr>
    </w:p>
    <w:p w:rsidR="00D61CC6" w:rsidRPr="003C24FA" w:rsidRDefault="00D61CC6" w:rsidP="00093B40">
      <w:pPr>
        <w:spacing w:line="460" w:lineRule="exact"/>
        <w:rPr>
          <w:color w:val="000000" w:themeColor="text1"/>
        </w:rPr>
      </w:pPr>
    </w:p>
    <w:p w:rsidR="00AE31F2" w:rsidRPr="003C24FA" w:rsidRDefault="00AE31F2" w:rsidP="00093B40">
      <w:pPr>
        <w:spacing w:line="460" w:lineRule="exact"/>
        <w:rPr>
          <w:color w:val="000000" w:themeColor="text1"/>
        </w:rPr>
      </w:pPr>
    </w:p>
    <w:p w:rsidR="00AE31F2" w:rsidRPr="003C24FA" w:rsidRDefault="00AE31F2" w:rsidP="00093B40">
      <w:pPr>
        <w:spacing w:line="460" w:lineRule="exact"/>
        <w:rPr>
          <w:color w:val="000000" w:themeColor="text1"/>
        </w:rPr>
      </w:pPr>
    </w:p>
    <w:p w:rsidR="0086520A" w:rsidRPr="003C24FA" w:rsidRDefault="007B472C" w:rsidP="00965C93">
      <w:pPr>
        <w:spacing w:afterLines="50" w:after="120"/>
        <w:jc w:val="center"/>
        <w:rPr>
          <w:rFonts w:eastAsia="標楷體"/>
          <w:color w:val="000000" w:themeColor="text1"/>
          <w:sz w:val="40"/>
        </w:rPr>
      </w:pPr>
      <w:r w:rsidRPr="003C24FA">
        <w:rPr>
          <w:rFonts w:eastAsia="標楷體" w:hint="eastAsia"/>
          <w:bCs/>
          <w:color w:val="000000" w:themeColor="text1"/>
          <w:sz w:val="40"/>
          <w:szCs w:val="40"/>
        </w:rPr>
        <w:lastRenderedPageBreak/>
        <w:t>臺中市政府托育服務</w:t>
      </w:r>
      <w:r w:rsidR="00F57888" w:rsidRPr="003C24FA">
        <w:rPr>
          <w:rFonts w:eastAsia="標楷體" w:hint="eastAsia"/>
          <w:bCs/>
          <w:color w:val="000000" w:themeColor="text1"/>
          <w:sz w:val="40"/>
          <w:szCs w:val="40"/>
        </w:rPr>
        <w:t>管理委員會設置要點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8"/>
        <w:gridCol w:w="4409"/>
      </w:tblGrid>
      <w:tr w:rsidR="0086520A" w:rsidRPr="003C24FA" w:rsidTr="00700AC6">
        <w:tc>
          <w:tcPr>
            <w:tcW w:w="4408" w:type="dxa"/>
            <w:vAlign w:val="center"/>
          </w:tcPr>
          <w:p w:rsidR="0086520A" w:rsidRPr="00741520" w:rsidRDefault="0086520A" w:rsidP="00A77D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4409" w:type="dxa"/>
            <w:vAlign w:val="center"/>
          </w:tcPr>
          <w:p w:rsidR="0086520A" w:rsidRPr="00741520" w:rsidRDefault="0086520A" w:rsidP="00A77D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86520A" w:rsidRPr="003C24FA" w:rsidTr="00700AC6">
        <w:tc>
          <w:tcPr>
            <w:tcW w:w="4408" w:type="dxa"/>
            <w:vAlign w:val="center"/>
          </w:tcPr>
          <w:p w:rsidR="0086520A" w:rsidRPr="00741520" w:rsidRDefault="007B472C" w:rsidP="00A81F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臺中市政府托育服務</w:t>
            </w:r>
            <w:r w:rsidR="00002EF9" w:rsidRPr="00741520">
              <w:rPr>
                <w:rFonts w:ascii="標楷體" w:eastAsia="標楷體" w:hAnsi="標楷體" w:hint="eastAsia"/>
                <w:color w:val="000000" w:themeColor="text1"/>
              </w:rPr>
              <w:t>管理委員會設置要點</w:t>
            </w:r>
          </w:p>
        </w:tc>
        <w:tc>
          <w:tcPr>
            <w:tcW w:w="4409" w:type="dxa"/>
            <w:vAlign w:val="center"/>
          </w:tcPr>
          <w:p w:rsidR="0086520A" w:rsidRPr="00741520" w:rsidRDefault="0086520A" w:rsidP="00A81F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行政規則名稱</w:t>
            </w:r>
          </w:p>
        </w:tc>
      </w:tr>
      <w:tr w:rsidR="0086520A" w:rsidRPr="003C24FA" w:rsidTr="00700AC6">
        <w:tc>
          <w:tcPr>
            <w:tcW w:w="4408" w:type="dxa"/>
          </w:tcPr>
          <w:p w:rsidR="0086520A" w:rsidRPr="00741520" w:rsidRDefault="0086520A" w:rsidP="00A77D5A">
            <w:pPr>
              <w:adjustRightInd w:val="0"/>
              <w:snapToGrid w:val="0"/>
              <w:ind w:left="566" w:hangingChars="236" w:hanging="56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</w:p>
        </w:tc>
        <w:tc>
          <w:tcPr>
            <w:tcW w:w="4409" w:type="dxa"/>
          </w:tcPr>
          <w:p w:rsidR="0086520A" w:rsidRPr="00741520" w:rsidRDefault="0086520A" w:rsidP="00A77D5A">
            <w:pPr>
              <w:adjustRightInd w:val="0"/>
              <w:snapToGri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86520A" w:rsidRPr="003C24FA" w:rsidTr="00700AC6">
        <w:tc>
          <w:tcPr>
            <w:tcW w:w="4408" w:type="dxa"/>
          </w:tcPr>
          <w:p w:rsidR="0086520A" w:rsidRPr="00741520" w:rsidRDefault="0086520A" w:rsidP="0074152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F57888" w:rsidRPr="00741520">
              <w:rPr>
                <w:rFonts w:ascii="標楷體" w:eastAsia="標楷體" w:hAnsi="標楷體" w:hint="eastAsia"/>
                <w:color w:val="000000" w:themeColor="text1"/>
              </w:rPr>
              <w:t>臺中市政府（以下簡稱本</w:t>
            </w:r>
            <w:r w:rsidR="005100EE" w:rsidRPr="00741520">
              <w:rPr>
                <w:rFonts w:ascii="標楷體" w:eastAsia="標楷體" w:hAnsi="標楷體" w:hint="eastAsia"/>
                <w:color w:val="000000" w:themeColor="text1"/>
              </w:rPr>
              <w:t>府）</w:t>
            </w:r>
            <w:r w:rsidR="00235F31" w:rsidRPr="00741520">
              <w:rPr>
                <w:rFonts w:ascii="標楷體" w:eastAsia="標楷體" w:hAnsi="標楷體" w:hint="eastAsia"/>
                <w:color w:val="000000" w:themeColor="text1"/>
              </w:rPr>
              <w:t>為提升及管理</w:t>
            </w:r>
            <w:r w:rsidR="00F57888" w:rsidRPr="00741520">
              <w:rPr>
                <w:rFonts w:ascii="標楷體" w:eastAsia="標楷體" w:hAnsi="標楷體" w:hint="eastAsia"/>
                <w:color w:val="000000" w:themeColor="text1"/>
              </w:rPr>
              <w:t>臺中市（以下簡稱本市）居家式及托嬰中心</w:t>
            </w:r>
            <w:r w:rsidR="005100EE" w:rsidRPr="00741520">
              <w:rPr>
                <w:rFonts w:ascii="標楷體" w:eastAsia="標楷體" w:hAnsi="標楷體" w:hint="eastAsia"/>
                <w:color w:val="000000" w:themeColor="text1"/>
              </w:rPr>
              <w:t>托育服務品質</w:t>
            </w:r>
            <w:r w:rsidR="007B472C" w:rsidRPr="00741520">
              <w:rPr>
                <w:rFonts w:ascii="標楷體" w:eastAsia="標楷體" w:hAnsi="標楷體" w:hint="eastAsia"/>
                <w:color w:val="000000" w:themeColor="text1"/>
              </w:rPr>
              <w:t>，依據兒童及少年福利與權益保障法第二十五條</w:t>
            </w:r>
            <w:r w:rsidR="00DB4D5F" w:rsidRPr="00741520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="007B472C" w:rsidRPr="00741520">
              <w:rPr>
                <w:rFonts w:ascii="標楷體" w:eastAsia="標楷體" w:hAnsi="標楷體" w:hint="eastAsia"/>
                <w:color w:val="000000" w:themeColor="text1"/>
              </w:rPr>
              <w:t>，特設</w:t>
            </w:r>
            <w:r w:rsidR="00235F31" w:rsidRPr="00741520">
              <w:rPr>
                <w:rFonts w:ascii="標楷體" w:eastAsia="標楷體" w:hAnsi="標楷體" w:hint="eastAsia"/>
                <w:color w:val="000000" w:themeColor="text1"/>
              </w:rPr>
              <w:t>臺中市政府</w:t>
            </w:r>
            <w:r w:rsidR="007B472C" w:rsidRPr="00741520">
              <w:rPr>
                <w:rFonts w:ascii="標楷體" w:eastAsia="標楷體" w:hAnsi="標楷體" w:hint="eastAsia"/>
                <w:color w:val="000000" w:themeColor="text1"/>
              </w:rPr>
              <w:t>托育服務</w:t>
            </w:r>
            <w:r w:rsidR="00F57888" w:rsidRPr="00741520">
              <w:rPr>
                <w:rFonts w:ascii="標楷體" w:eastAsia="標楷體" w:hAnsi="標楷體" w:hint="eastAsia"/>
                <w:color w:val="000000" w:themeColor="text1"/>
              </w:rPr>
              <w:t>管理委員會（以下簡稱本委員會），</w:t>
            </w:r>
            <w:r w:rsidR="00DB4D5F" w:rsidRPr="00741520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F57888" w:rsidRPr="00741520">
              <w:rPr>
                <w:rFonts w:ascii="標楷體" w:eastAsia="標楷體" w:hAnsi="標楷體" w:hint="eastAsia"/>
                <w:color w:val="000000" w:themeColor="text1"/>
              </w:rPr>
              <w:t>訂定本要點。</w:t>
            </w:r>
          </w:p>
        </w:tc>
        <w:tc>
          <w:tcPr>
            <w:tcW w:w="4409" w:type="dxa"/>
          </w:tcPr>
          <w:p w:rsidR="00D61CC6" w:rsidRPr="00741520" w:rsidRDefault="00F57888" w:rsidP="00D61CC6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依據兒童及少年福利與權益保障法(以下簡稱本法)第二十五條規定，</w:t>
            </w:r>
            <w:r w:rsidR="00D61CC6" w:rsidRPr="00741520">
              <w:rPr>
                <w:rFonts w:ascii="標楷體" w:eastAsia="標楷體" w:hAnsi="標楷體" w:hint="eastAsia"/>
                <w:color w:val="000000" w:themeColor="text1"/>
              </w:rPr>
              <w:t>訂定本委員會設置要點。</w:t>
            </w:r>
          </w:p>
          <w:p w:rsidR="0086520A" w:rsidRPr="00741520" w:rsidRDefault="0086520A" w:rsidP="00002EF9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520A" w:rsidRPr="003C24FA" w:rsidTr="00700AC6">
        <w:tc>
          <w:tcPr>
            <w:tcW w:w="4408" w:type="dxa"/>
          </w:tcPr>
          <w:p w:rsidR="0086520A" w:rsidRPr="00741520" w:rsidRDefault="0086520A" w:rsidP="00A81F66">
            <w:pPr>
              <w:ind w:left="540" w:hangingChars="225" w:hanging="5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二、本委員會</w:t>
            </w:r>
            <w:r w:rsidRPr="00741520">
              <w:rPr>
                <w:rFonts w:ascii="標楷體" w:eastAsia="標楷體" w:hAnsi="標楷體"/>
                <w:color w:val="000000" w:themeColor="text1"/>
              </w:rPr>
              <w:t>任務如下：</w:t>
            </w:r>
          </w:p>
          <w:p w:rsidR="00002EF9" w:rsidRPr="00741520" w:rsidRDefault="00002EF9" w:rsidP="00741520">
            <w:pPr>
              <w:pStyle w:val="a8"/>
              <w:ind w:leftChars="150" w:left="1008" w:hangingChars="270" w:hanging="648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>（一）</w:t>
            </w:r>
            <w:r w:rsidR="00CB08E9" w:rsidRPr="00741520">
              <w:rPr>
                <w:rFonts w:hint="eastAsia"/>
                <w:color w:val="000000" w:themeColor="text1"/>
              </w:rPr>
              <w:t>協調、研究、</w:t>
            </w:r>
            <w:r w:rsidR="00322FEB" w:rsidRPr="00741520">
              <w:rPr>
                <w:rFonts w:hint="eastAsia"/>
                <w:color w:val="000000" w:themeColor="text1"/>
              </w:rPr>
              <w:t>審議及諮詢居家式與托嬰中心托育服務、收退費、人員薪資、監督考核</w:t>
            </w:r>
            <w:r w:rsidR="00CB08E9" w:rsidRPr="00741520">
              <w:rPr>
                <w:rFonts w:hint="eastAsia"/>
                <w:color w:val="000000" w:themeColor="text1"/>
              </w:rPr>
              <w:t>等相關事宜。</w:t>
            </w:r>
          </w:p>
          <w:p w:rsidR="003228B3" w:rsidRPr="00741520" w:rsidRDefault="00002EF9" w:rsidP="00741520">
            <w:pPr>
              <w:pStyle w:val="a8"/>
              <w:ind w:leftChars="150" w:left="1008" w:hangingChars="270" w:hanging="648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>（二）</w:t>
            </w:r>
            <w:r w:rsidR="00322FEB" w:rsidRPr="00741520">
              <w:rPr>
                <w:rFonts w:hint="eastAsia"/>
                <w:color w:val="000000" w:themeColor="text1"/>
              </w:rPr>
              <w:t>研議本市居家式與托嬰中心托育相關措施之規劃與推動事宜。</w:t>
            </w:r>
          </w:p>
          <w:p w:rsidR="0086520A" w:rsidRPr="00741520" w:rsidRDefault="003228B3" w:rsidP="00741520">
            <w:pPr>
              <w:pStyle w:val="a8"/>
              <w:ind w:leftChars="150" w:left="1008" w:hangingChars="270" w:hanging="648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>（三）</w:t>
            </w:r>
            <w:r w:rsidR="00322FEB" w:rsidRPr="00741520">
              <w:rPr>
                <w:rFonts w:hint="eastAsia"/>
                <w:color w:val="000000" w:themeColor="text1"/>
              </w:rPr>
              <w:t>其他促進居家式與托嬰中心托育服務之相關事宜。</w:t>
            </w:r>
          </w:p>
        </w:tc>
        <w:tc>
          <w:tcPr>
            <w:tcW w:w="4409" w:type="dxa"/>
          </w:tcPr>
          <w:p w:rsidR="0086520A" w:rsidRPr="00741520" w:rsidRDefault="0086520A" w:rsidP="00A81F66">
            <w:pPr>
              <w:pStyle w:val="a7"/>
              <w:adjustRightInd w:val="0"/>
              <w:snapToGrid w:val="0"/>
              <w:spacing w:beforeLines="0" w:afterLines="0"/>
              <w:ind w:left="508" w:hanging="508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741520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本委員會之任務。</w:t>
            </w:r>
          </w:p>
          <w:p w:rsidR="0086520A" w:rsidRPr="00741520" w:rsidRDefault="0086520A" w:rsidP="00A81F66">
            <w:pPr>
              <w:pStyle w:val="a7"/>
              <w:adjustRightInd w:val="0"/>
              <w:snapToGrid w:val="0"/>
              <w:spacing w:beforeLines="0" w:afterLines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6520A" w:rsidRPr="003C24FA" w:rsidTr="00700AC6">
        <w:tc>
          <w:tcPr>
            <w:tcW w:w="4408" w:type="dxa"/>
          </w:tcPr>
          <w:p w:rsidR="009D5B8F" w:rsidRPr="00741520" w:rsidRDefault="009D5B8F" w:rsidP="00741520">
            <w:pPr>
              <w:pStyle w:val="a8"/>
              <w:ind w:left="480" w:hangingChars="200" w:hanging="480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>三、本委員會委員十七至二十五人，其中一人為召集人，由市長兼任之；一人為副召集人，由本府社會局局長兼任之；其餘委員，由本府就下列人員聘（派）之：</w:t>
            </w:r>
          </w:p>
          <w:p w:rsidR="009D5B8F" w:rsidRPr="00741520" w:rsidRDefault="006C407B" w:rsidP="00741520">
            <w:pPr>
              <w:pStyle w:val="a8"/>
              <w:ind w:leftChars="150" w:left="840" w:hangingChars="200" w:hanging="4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(一)</w:t>
            </w:r>
            <w:r w:rsidR="009D5B8F" w:rsidRPr="00741520">
              <w:rPr>
                <w:rFonts w:hint="eastAsia"/>
                <w:color w:val="000000" w:themeColor="text1"/>
              </w:rPr>
              <w:t>本府教育局局長。</w:t>
            </w:r>
          </w:p>
          <w:p w:rsidR="009D5B8F" w:rsidRPr="00741520" w:rsidRDefault="009D5B8F" w:rsidP="00741520">
            <w:pPr>
              <w:pStyle w:val="a8"/>
              <w:ind w:leftChars="150" w:left="840" w:hangingChars="200" w:hanging="480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 xml:space="preserve"> (二</w:t>
            </w:r>
            <w:r w:rsidR="006C407B">
              <w:rPr>
                <w:rFonts w:hint="eastAsia"/>
                <w:color w:val="000000" w:themeColor="text1"/>
              </w:rPr>
              <w:t>)</w:t>
            </w:r>
            <w:r w:rsidRPr="00741520">
              <w:rPr>
                <w:rFonts w:hint="eastAsia"/>
                <w:color w:val="000000" w:themeColor="text1"/>
              </w:rPr>
              <w:t>本府衛生局局長。</w:t>
            </w:r>
          </w:p>
          <w:p w:rsidR="009D5B8F" w:rsidRPr="00741520" w:rsidRDefault="009D5B8F" w:rsidP="00741520">
            <w:pPr>
              <w:pStyle w:val="a8"/>
              <w:ind w:leftChars="150" w:left="840" w:hangingChars="200" w:hanging="480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 xml:space="preserve"> (三</w:t>
            </w:r>
            <w:r w:rsidR="006C407B">
              <w:rPr>
                <w:rFonts w:hint="eastAsia"/>
                <w:color w:val="000000" w:themeColor="text1"/>
              </w:rPr>
              <w:t>)</w:t>
            </w:r>
            <w:r w:rsidRPr="00741520">
              <w:rPr>
                <w:rFonts w:hint="eastAsia"/>
                <w:color w:val="000000" w:themeColor="text1"/>
              </w:rPr>
              <w:t>本府法制局局長。</w:t>
            </w:r>
          </w:p>
          <w:p w:rsidR="009D5B8F" w:rsidRPr="00741520" w:rsidRDefault="009D5B8F" w:rsidP="00741520">
            <w:pPr>
              <w:pStyle w:val="a8"/>
              <w:ind w:leftChars="150" w:left="840" w:hangingChars="200" w:hanging="480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 xml:space="preserve"> (四</w:t>
            </w:r>
            <w:r w:rsidR="006C407B">
              <w:rPr>
                <w:rFonts w:hint="eastAsia"/>
                <w:color w:val="000000" w:themeColor="text1"/>
              </w:rPr>
              <w:t>)</w:t>
            </w:r>
            <w:r w:rsidRPr="00741520">
              <w:rPr>
                <w:rFonts w:hint="eastAsia"/>
                <w:color w:val="000000" w:themeColor="text1"/>
              </w:rPr>
              <w:t>本府主計處處長。</w:t>
            </w:r>
          </w:p>
          <w:p w:rsidR="009D5B8F" w:rsidRPr="00741520" w:rsidRDefault="0086309A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 w:rsidRPr="00741520">
              <w:rPr>
                <w:rFonts w:hint="eastAsia"/>
                <w:color w:val="000000" w:themeColor="text1"/>
              </w:rPr>
              <w:t xml:space="preserve"> </w:t>
            </w:r>
            <w:r w:rsidR="009D5B8F" w:rsidRPr="00741520">
              <w:rPr>
                <w:rFonts w:hint="eastAsia"/>
                <w:color w:val="000000" w:themeColor="text1"/>
              </w:rPr>
              <w:t>(五)專家學者：幼兒保育、幼兒教育、兒童福利、社會工作、法律、護理、會計等相關領域之專家學者四至七人。</w:t>
            </w:r>
          </w:p>
          <w:p w:rsidR="009D5B8F" w:rsidRPr="00741520" w:rsidRDefault="006C407B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(六)</w:t>
            </w:r>
            <w:r w:rsidR="009D5B8F" w:rsidRPr="00741520">
              <w:rPr>
                <w:rFonts w:hint="eastAsia"/>
                <w:color w:val="000000" w:themeColor="text1"/>
              </w:rPr>
              <w:t>居家托育人員及托嬰中心代表：本市轄區內社區保母系統托育人員及托嬰中心代表二至四人。</w:t>
            </w:r>
          </w:p>
          <w:p w:rsidR="009D5B8F" w:rsidRPr="00741520" w:rsidRDefault="006C407B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(七)</w:t>
            </w:r>
            <w:r w:rsidR="009D5B8F" w:rsidRPr="00741520">
              <w:rPr>
                <w:rFonts w:hint="eastAsia"/>
                <w:color w:val="000000" w:themeColor="text1"/>
              </w:rPr>
              <w:t>兒童及少年福利團體代表：本市或全國性兒童及少年福利團體代表一至二人。</w:t>
            </w:r>
          </w:p>
          <w:p w:rsidR="009D5B8F" w:rsidRPr="00741520" w:rsidRDefault="006C407B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(八)</w:t>
            </w:r>
            <w:r w:rsidR="009D5B8F" w:rsidRPr="00741520">
              <w:rPr>
                <w:rFonts w:hint="eastAsia"/>
                <w:color w:val="000000" w:themeColor="text1"/>
              </w:rPr>
              <w:t>家長代表：本市家長或家長團體代表二至三人。</w:t>
            </w:r>
          </w:p>
          <w:p w:rsidR="009D5B8F" w:rsidRPr="00741520" w:rsidRDefault="006C407B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(九)</w:t>
            </w:r>
            <w:r w:rsidR="009D5B8F" w:rsidRPr="00741520">
              <w:rPr>
                <w:rFonts w:hint="eastAsia"/>
                <w:color w:val="000000" w:themeColor="text1"/>
              </w:rPr>
              <w:t>婦女團體代表：本市或全國性婦女團體代表一至二人。</w:t>
            </w:r>
          </w:p>
          <w:p w:rsidR="009D5B8F" w:rsidRPr="00741520" w:rsidRDefault="006C407B" w:rsidP="006C407B">
            <w:pPr>
              <w:pStyle w:val="a8"/>
              <w:ind w:leftChars="150" w:left="960" w:hangingChars="250" w:hanging="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 xml:space="preserve"> (十)</w:t>
            </w:r>
            <w:r w:rsidR="009D5B8F" w:rsidRPr="00741520">
              <w:rPr>
                <w:rFonts w:hint="eastAsia"/>
                <w:color w:val="000000" w:themeColor="text1"/>
              </w:rPr>
              <w:t>勞工團體代表：本市勞工團體代表一人。</w:t>
            </w:r>
          </w:p>
          <w:p w:rsidR="0086520A" w:rsidRPr="00741520" w:rsidRDefault="009D5B8F" w:rsidP="00741520">
            <w:pPr>
              <w:ind w:leftChars="200" w:left="48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前項委員單一性別比例應不低於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741520">
              <w:rPr>
                <w:rFonts w:ascii="標楷體" w:eastAsia="標楷體" w:hAnsi="標楷體" w:hint="eastAsia"/>
                <w:color w:val="000000" w:themeColor="text1"/>
              </w:rPr>
              <w:t>員人數三分之一，委員任期為二年，期滿得續聘（派）之。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但</w:t>
            </w:r>
            <w:r w:rsidRPr="00741520">
              <w:rPr>
                <w:rFonts w:ascii="標楷體" w:eastAsia="標楷體" w:hAnsi="標楷體" w:hint="eastAsia"/>
                <w:color w:val="000000" w:themeColor="text1"/>
              </w:rPr>
              <w:t>機關團體代表職務調動或辭職者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 w:rsidRPr="00741520">
              <w:rPr>
                <w:rFonts w:ascii="標楷體" w:eastAsia="標楷體" w:hAnsi="標楷體" w:hint="eastAsia"/>
                <w:color w:val="000000" w:themeColor="text1"/>
              </w:rPr>
              <w:t>隨時改聘（派）；其繼任委員之任期至原委員任期屆滿之日止。</w:t>
            </w:r>
          </w:p>
        </w:tc>
        <w:tc>
          <w:tcPr>
            <w:tcW w:w="4409" w:type="dxa"/>
          </w:tcPr>
          <w:p w:rsidR="0086520A" w:rsidRPr="00741520" w:rsidRDefault="009814D4" w:rsidP="009814D4">
            <w:pPr>
              <w:pStyle w:val="a7"/>
              <w:adjustRightInd w:val="0"/>
              <w:snapToGrid w:val="0"/>
              <w:spacing w:beforeLines="0" w:afterLines="0"/>
              <w:ind w:left="0" w:firstLine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41520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lastRenderedPageBreak/>
              <w:t>本委員會</w:t>
            </w:r>
            <w:r w:rsidRPr="00741520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>之</w:t>
            </w:r>
            <w:r w:rsidRPr="00741520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成員人數、聘任方式、任期及出缺時之補聘方式</w:t>
            </w:r>
            <w:r w:rsidR="00B21AC8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6520A" w:rsidRPr="003C24FA" w:rsidTr="00700AC6">
        <w:tc>
          <w:tcPr>
            <w:tcW w:w="4408" w:type="dxa"/>
          </w:tcPr>
          <w:p w:rsidR="00741520" w:rsidRPr="00741520" w:rsidRDefault="0086520A" w:rsidP="0074152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四、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本委員會每六個月召開一次會議，必要時得召開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臨時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會議，</w:t>
            </w:r>
            <w:r w:rsidR="00A40797" w:rsidRPr="00741520">
              <w:rPr>
                <w:rFonts w:ascii="標楷體" w:eastAsia="標楷體" w:hAnsi="標楷體" w:hint="eastAsia"/>
                <w:color w:val="000000" w:themeColor="text1"/>
              </w:rPr>
              <w:t>由召集人擔任主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席，召集人因故不能出席時，</w:t>
            </w:r>
            <w:r w:rsidR="007B472C" w:rsidRPr="00741520">
              <w:rPr>
                <w:rFonts w:ascii="標楷體" w:eastAsia="標楷體" w:hAnsi="標楷體" w:hint="eastAsia"/>
                <w:color w:val="000000" w:themeColor="text1"/>
              </w:rPr>
              <w:t>由副召集人代理；召集人及副召集人均不能出席時，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由召集人指定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或出席委員互選一人代理主席。</w:t>
            </w:r>
          </w:p>
          <w:p w:rsidR="0086520A" w:rsidRPr="00741520" w:rsidRDefault="009814D4" w:rsidP="00741520">
            <w:pPr>
              <w:ind w:leftChars="200" w:left="48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本委員會應有委員二分之一以上出席始得開會，並得邀請相關機關或人員列席說明</w:t>
            </w:r>
            <w:r w:rsidR="00DB4D5F" w:rsidRPr="0074152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B4D5F" w:rsidRPr="00741520">
              <w:rPr>
                <w:rFonts w:ascii="標楷體" w:eastAsia="標楷體" w:hAnsi="標楷體"/>
                <w:color w:val="000000" w:themeColor="text1"/>
              </w:rPr>
              <w:t>決議事項應有出席委員過半數之同意行之</w:t>
            </w:r>
            <w:r w:rsidRPr="0074152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409" w:type="dxa"/>
          </w:tcPr>
          <w:p w:rsidR="009814D4" w:rsidRPr="00741520" w:rsidRDefault="009814D4" w:rsidP="009814D4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  <w:kern w:val="0"/>
                <w:lang w:val="zh-TW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本委員會之開會方式。</w:t>
            </w:r>
          </w:p>
        </w:tc>
      </w:tr>
      <w:tr w:rsidR="0086520A" w:rsidRPr="003C24FA" w:rsidTr="00700AC6">
        <w:tc>
          <w:tcPr>
            <w:tcW w:w="4408" w:type="dxa"/>
          </w:tcPr>
          <w:p w:rsidR="0086520A" w:rsidRPr="00741520" w:rsidRDefault="0086520A" w:rsidP="0074152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本委員會得由召集人指派三至六名委員審議不適任托育人員之</w:t>
            </w:r>
            <w:r w:rsidR="00C9603A" w:rsidRPr="00741520">
              <w:rPr>
                <w:rFonts w:ascii="標楷體" w:eastAsia="標楷體" w:hAnsi="標楷體" w:hint="eastAsia"/>
                <w:color w:val="000000" w:themeColor="text1"/>
              </w:rPr>
              <w:t>登記資格、退場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機制及托育服務收退費事宜。</w:t>
            </w:r>
          </w:p>
        </w:tc>
        <w:tc>
          <w:tcPr>
            <w:tcW w:w="4409" w:type="dxa"/>
          </w:tcPr>
          <w:p w:rsidR="0086520A" w:rsidRPr="00741520" w:rsidRDefault="009814D4" w:rsidP="00D61CC6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本委員會對不適任托育人員</w:t>
            </w:r>
            <w:r w:rsidR="003228B3" w:rsidRPr="00741520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資格</w:t>
            </w:r>
            <w:r w:rsidR="00D61CC6" w:rsidRPr="00741520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、托育服務收退費</w:t>
            </w:r>
            <w:r w:rsidRPr="00741520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之審議方式。</w:t>
            </w:r>
          </w:p>
        </w:tc>
      </w:tr>
      <w:tr w:rsidR="0086520A" w:rsidRPr="003C24FA" w:rsidTr="00741520">
        <w:trPr>
          <w:trHeight w:val="668"/>
        </w:trPr>
        <w:tc>
          <w:tcPr>
            <w:tcW w:w="4408" w:type="dxa"/>
          </w:tcPr>
          <w:p w:rsidR="0086520A" w:rsidRPr="00741520" w:rsidRDefault="0086520A" w:rsidP="00741520">
            <w:pPr>
              <w:adjustRightInd w:val="0"/>
              <w:snapToGrid w:val="0"/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本委員會對外行文，以本府名義行之。</w:t>
            </w:r>
          </w:p>
        </w:tc>
        <w:tc>
          <w:tcPr>
            <w:tcW w:w="4409" w:type="dxa"/>
          </w:tcPr>
          <w:p w:rsidR="0086520A" w:rsidRPr="00741520" w:rsidRDefault="009814D4" w:rsidP="00741520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  <w:kern w:val="0"/>
                <w:lang w:val="zh-TW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本委員會對外行文，以本府名義行之。</w:t>
            </w:r>
          </w:p>
        </w:tc>
      </w:tr>
      <w:tr w:rsidR="0086520A" w:rsidRPr="003C24FA" w:rsidTr="00B21AC8">
        <w:trPr>
          <w:trHeight w:val="669"/>
        </w:trPr>
        <w:tc>
          <w:tcPr>
            <w:tcW w:w="4408" w:type="dxa"/>
          </w:tcPr>
          <w:p w:rsidR="0086520A" w:rsidRPr="00741520" w:rsidRDefault="00741520" w:rsidP="0074152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本委員會兼任人員均為無給職</w:t>
            </w:r>
            <w:r w:rsidRPr="0074152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409" w:type="dxa"/>
          </w:tcPr>
          <w:p w:rsidR="0086520A" w:rsidRPr="00741520" w:rsidRDefault="002F5ECE" w:rsidP="00741520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本委員會兼任人員均為無給職。</w:t>
            </w:r>
          </w:p>
        </w:tc>
      </w:tr>
      <w:tr w:rsidR="0086520A" w:rsidRPr="003C24FA" w:rsidTr="00741520">
        <w:trPr>
          <w:trHeight w:val="700"/>
        </w:trPr>
        <w:tc>
          <w:tcPr>
            <w:tcW w:w="4408" w:type="dxa"/>
          </w:tcPr>
          <w:p w:rsidR="0086520A" w:rsidRPr="00741520" w:rsidRDefault="0086520A" w:rsidP="0074152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41520"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r w:rsidR="009814D4" w:rsidRPr="00741520">
              <w:rPr>
                <w:rFonts w:ascii="標楷體" w:eastAsia="標楷體" w:hAnsi="標楷體" w:hint="eastAsia"/>
                <w:color w:val="000000" w:themeColor="text1"/>
              </w:rPr>
              <w:t>本委員會所需經費，由本府社會局編列相關預算支應。</w:t>
            </w:r>
          </w:p>
        </w:tc>
        <w:tc>
          <w:tcPr>
            <w:tcW w:w="4409" w:type="dxa"/>
          </w:tcPr>
          <w:p w:rsidR="0086520A" w:rsidRPr="00741520" w:rsidRDefault="009814D4" w:rsidP="009814D4">
            <w:pPr>
              <w:pStyle w:val="a7"/>
              <w:adjustRightInd w:val="0"/>
              <w:snapToGrid w:val="0"/>
              <w:spacing w:beforeLines="0" w:afterLines="0"/>
              <w:ind w:left="0" w:firstLine="0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741520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本委員會所需經費由社會局編列預算支應。</w:t>
            </w:r>
          </w:p>
        </w:tc>
      </w:tr>
    </w:tbl>
    <w:p w:rsidR="0086520A" w:rsidRPr="003C24FA" w:rsidRDefault="0086520A" w:rsidP="0086520A">
      <w:pPr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86520A" w:rsidRPr="003C24FA" w:rsidRDefault="0086520A" w:rsidP="00093B40">
      <w:pPr>
        <w:spacing w:line="460" w:lineRule="exact"/>
        <w:rPr>
          <w:color w:val="000000" w:themeColor="text1"/>
        </w:rPr>
      </w:pPr>
    </w:p>
    <w:p w:rsidR="00D61CC6" w:rsidRPr="003C24FA" w:rsidRDefault="00D61CC6" w:rsidP="00093B40">
      <w:pPr>
        <w:spacing w:line="460" w:lineRule="exact"/>
        <w:rPr>
          <w:color w:val="000000" w:themeColor="text1"/>
        </w:rPr>
      </w:pPr>
    </w:p>
    <w:p w:rsidR="001514B4" w:rsidRPr="003C24FA" w:rsidRDefault="001514B4" w:rsidP="003228B3">
      <w:pPr>
        <w:spacing w:line="460" w:lineRule="exact"/>
        <w:ind w:rightChars="73" w:right="175"/>
        <w:rPr>
          <w:color w:val="000000" w:themeColor="text1"/>
        </w:rPr>
      </w:pPr>
    </w:p>
    <w:p w:rsidR="009814D4" w:rsidRDefault="00296CBF" w:rsidP="00741520">
      <w:pPr>
        <w:spacing w:line="460" w:lineRule="exact"/>
        <w:ind w:rightChars="73" w:right="175"/>
        <w:jc w:val="center"/>
        <w:rPr>
          <w:rFonts w:eastAsia="標楷體"/>
          <w:bCs/>
          <w:color w:val="000000" w:themeColor="text1"/>
          <w:sz w:val="40"/>
          <w:szCs w:val="40"/>
        </w:rPr>
      </w:pPr>
      <w:r w:rsidRPr="003C24FA">
        <w:rPr>
          <w:rFonts w:eastAsia="標楷體" w:hint="eastAsia"/>
          <w:bCs/>
          <w:color w:val="000000" w:themeColor="text1"/>
          <w:sz w:val="40"/>
          <w:szCs w:val="40"/>
        </w:rPr>
        <w:lastRenderedPageBreak/>
        <w:t>臺中市政府托育服務</w:t>
      </w:r>
      <w:r w:rsidR="009814D4" w:rsidRPr="003C24FA">
        <w:rPr>
          <w:rFonts w:eastAsia="標楷體" w:hint="eastAsia"/>
          <w:bCs/>
          <w:color w:val="000000" w:themeColor="text1"/>
          <w:sz w:val="40"/>
          <w:szCs w:val="40"/>
        </w:rPr>
        <w:t>管理委員會設置要點</w:t>
      </w:r>
    </w:p>
    <w:p w:rsidR="00741520" w:rsidRPr="00741520" w:rsidRDefault="00741520" w:rsidP="00741520">
      <w:pPr>
        <w:spacing w:line="460" w:lineRule="exact"/>
        <w:ind w:rightChars="73" w:right="175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中華民國104年6月</w:t>
      </w:r>
      <w:r w:rsidR="00D91DB3">
        <w:rPr>
          <w:rFonts w:ascii="標楷體" w:eastAsia="標楷體" w:hAnsi="標楷體" w:hint="eastAsia"/>
          <w:color w:val="000000" w:themeColor="text1"/>
          <w:sz w:val="20"/>
          <w:szCs w:val="28"/>
        </w:rPr>
        <w:t>22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日府授人企字第104</w:t>
      </w:r>
      <w:r w:rsidR="00807ADA">
        <w:rPr>
          <w:rFonts w:ascii="標楷體" w:eastAsia="標楷體" w:hAnsi="標楷體" w:hint="eastAsia"/>
          <w:color w:val="000000" w:themeColor="text1"/>
          <w:sz w:val="20"/>
          <w:szCs w:val="28"/>
        </w:rPr>
        <w:t>0139245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 w:rsidRPr="00741520">
        <w:rPr>
          <w:rFonts w:ascii="標楷體" w:eastAsia="標楷體" w:hAnsi="標楷體" w:hint="eastAsia"/>
          <w:bCs/>
          <w:color w:val="000000" w:themeColor="text1"/>
          <w:sz w:val="20"/>
          <w:szCs w:val="28"/>
        </w:rPr>
        <w:t>訂定發布</w:t>
      </w:r>
    </w:p>
    <w:p w:rsidR="009814D4" w:rsidRPr="00B21AC8" w:rsidRDefault="009814D4" w:rsidP="00B21AC8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一、</w:t>
      </w:r>
      <w:r w:rsidR="00DB4D5F" w:rsidRPr="00B21AC8">
        <w:rPr>
          <w:rFonts w:ascii="標楷體" w:eastAsia="標楷體" w:hAnsi="標楷體" w:hint="eastAsia"/>
          <w:sz w:val="28"/>
        </w:rPr>
        <w:t>臺中市政府（以下簡稱本府）為提升及管理臺中市（以下簡稱本市）居家式及托嬰中心托育服務品質，依據兒童及少年福利與權益保障法第二十五條規定，特設臺中市政府托育服務管理委員會（以下簡稱本委員會），並訂定本要點。</w:t>
      </w:r>
    </w:p>
    <w:p w:rsidR="009814D4" w:rsidRPr="00B21AC8" w:rsidRDefault="009814D4" w:rsidP="00B21AC8">
      <w:pPr>
        <w:spacing w:line="460" w:lineRule="exact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二、本委員會任務如下：</w:t>
      </w:r>
    </w:p>
    <w:p w:rsidR="003228B3" w:rsidRPr="00B21AC8" w:rsidRDefault="006C407B" w:rsidP="006C407B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3228B3" w:rsidRPr="00B21AC8">
        <w:rPr>
          <w:rFonts w:ascii="標楷體" w:eastAsia="標楷體" w:hAnsi="標楷體" w:hint="eastAsia"/>
          <w:sz w:val="28"/>
        </w:rPr>
        <w:t>協調、研究、審議及諮詢居家式與托嬰中心托育服務、收退費、人員薪資、監督考核等相關事宜。</w:t>
      </w:r>
    </w:p>
    <w:p w:rsidR="003228B3" w:rsidRPr="00B21AC8" w:rsidRDefault="006C407B" w:rsidP="006C407B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322FEB" w:rsidRPr="00B21AC8">
        <w:rPr>
          <w:rFonts w:ascii="標楷體" w:eastAsia="標楷體" w:hAnsi="標楷體" w:hint="eastAsia"/>
          <w:sz w:val="28"/>
        </w:rPr>
        <w:t>研議本市居家式與托嬰中心托育相關措施之規劃與推動事宜。</w:t>
      </w:r>
    </w:p>
    <w:p w:rsidR="009814D4" w:rsidRPr="00B21AC8" w:rsidRDefault="006C407B" w:rsidP="006C407B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322FEB" w:rsidRPr="00B21AC8">
        <w:rPr>
          <w:rFonts w:ascii="標楷體" w:eastAsia="標楷體" w:hAnsi="標楷體" w:hint="eastAsia"/>
          <w:sz w:val="28"/>
        </w:rPr>
        <w:t>其他促進居家式與托嬰中心托育服務之相關事宜。</w:t>
      </w:r>
    </w:p>
    <w:p w:rsidR="009814D4" w:rsidRPr="00B21AC8" w:rsidRDefault="00DB4D5F" w:rsidP="00B21AC8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三、本委員會委員十七</w:t>
      </w:r>
      <w:r w:rsidR="009814D4" w:rsidRPr="00B21AC8">
        <w:rPr>
          <w:rFonts w:ascii="標楷體" w:eastAsia="標楷體" w:hAnsi="標楷體" w:hint="eastAsia"/>
          <w:sz w:val="28"/>
        </w:rPr>
        <w:t>至二十五人，其中一人為召集人，由市長兼任之；一人為副召集人，由本府社會局局長兼任之；其餘委員，由本府就下列人員聘（派）之：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9814D4" w:rsidRPr="00B21AC8">
        <w:rPr>
          <w:rFonts w:ascii="標楷體" w:eastAsia="標楷體" w:hAnsi="標楷體" w:hint="eastAsia"/>
          <w:sz w:val="28"/>
        </w:rPr>
        <w:t>本府教育局局長。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9814D4" w:rsidRPr="00B21AC8">
        <w:rPr>
          <w:rFonts w:ascii="標楷體" w:eastAsia="標楷體" w:hAnsi="標楷體" w:hint="eastAsia"/>
          <w:sz w:val="28"/>
        </w:rPr>
        <w:t>本府衛生局局長。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9814D4" w:rsidRPr="00B21AC8">
        <w:rPr>
          <w:rFonts w:ascii="標楷體" w:eastAsia="標楷體" w:hAnsi="標楷體" w:hint="eastAsia"/>
          <w:sz w:val="28"/>
        </w:rPr>
        <w:t>本府法制局局長。</w:t>
      </w:r>
    </w:p>
    <w:p w:rsidR="00296CBF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9814D4" w:rsidRPr="00B21AC8">
        <w:rPr>
          <w:rFonts w:ascii="標楷體" w:eastAsia="標楷體" w:hAnsi="標楷體" w:hint="eastAsia"/>
          <w:sz w:val="28"/>
        </w:rPr>
        <w:t>本府主計處處長。</w:t>
      </w:r>
    </w:p>
    <w:p w:rsidR="00296CBF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9814D4" w:rsidRPr="00B21AC8">
        <w:rPr>
          <w:rFonts w:ascii="標楷體" w:eastAsia="標楷體" w:hAnsi="標楷體" w:hint="eastAsia"/>
          <w:sz w:val="28"/>
        </w:rPr>
        <w:t>專家學者：幼兒保育、幼兒教育、兒童福利、社會工作、法律、護理、會計等相關領域之專家學者四至七人。</w:t>
      </w:r>
    </w:p>
    <w:p w:rsidR="00296CBF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9814D4" w:rsidRPr="00B21AC8">
        <w:rPr>
          <w:rFonts w:ascii="標楷體" w:eastAsia="標楷體" w:hAnsi="標楷體" w:hint="eastAsia"/>
          <w:sz w:val="28"/>
        </w:rPr>
        <w:t>居家托育人員及托嬰中心代表：本市轄區內社區保母系統托育人員及托嬰中心代表二至四人。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</w:t>
      </w:r>
      <w:r w:rsidR="009814D4" w:rsidRPr="00B21AC8">
        <w:rPr>
          <w:rFonts w:ascii="標楷體" w:eastAsia="標楷體" w:hAnsi="標楷體" w:hint="eastAsia"/>
          <w:sz w:val="28"/>
        </w:rPr>
        <w:t>兒童及少年福利團體代表：本市或全國性兒童及少年福利團體代表一至二人。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(八)</w:t>
      </w:r>
      <w:r w:rsidR="009814D4" w:rsidRPr="00B21AC8">
        <w:rPr>
          <w:rFonts w:ascii="標楷體" w:eastAsia="標楷體" w:hAnsi="標楷體" w:hint="eastAsia"/>
          <w:sz w:val="28"/>
        </w:rPr>
        <w:t>家長代表：本市家長或家長團體代表二至三人。</w:t>
      </w:r>
    </w:p>
    <w:p w:rsidR="009814D4" w:rsidRP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9814D4" w:rsidRPr="00B21AC8">
        <w:rPr>
          <w:rFonts w:ascii="標楷體" w:eastAsia="標楷體" w:hAnsi="標楷體" w:hint="eastAsia"/>
          <w:sz w:val="28"/>
        </w:rPr>
        <w:t>婦女團體代表：本市或全國性婦女團體代表一至二人。</w:t>
      </w:r>
    </w:p>
    <w:p w:rsidR="00B21AC8" w:rsidRDefault="00B21AC8" w:rsidP="00B21AC8">
      <w:pPr>
        <w:spacing w:line="46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(十)</w:t>
      </w:r>
      <w:r w:rsidR="009814D4" w:rsidRPr="00B21AC8">
        <w:rPr>
          <w:rFonts w:ascii="標楷體" w:eastAsia="標楷體" w:hAnsi="標楷體" w:hint="eastAsia"/>
          <w:sz w:val="28"/>
        </w:rPr>
        <w:t>勞工團體代表：本市勞工團體代表一人。</w:t>
      </w:r>
    </w:p>
    <w:p w:rsidR="009814D4" w:rsidRPr="00B21AC8" w:rsidRDefault="009814D4" w:rsidP="00A111E6">
      <w:pPr>
        <w:spacing w:line="460" w:lineRule="exact"/>
        <w:ind w:leftChars="250" w:left="60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前項委員單一性別比例應不低於</w:t>
      </w:r>
      <w:r w:rsidR="00B27661" w:rsidRPr="00B21AC8">
        <w:rPr>
          <w:rFonts w:ascii="標楷體" w:eastAsia="標楷體" w:hAnsi="標楷體" w:hint="eastAsia"/>
          <w:sz w:val="28"/>
        </w:rPr>
        <w:t>委</w:t>
      </w:r>
      <w:r w:rsidRPr="00B21AC8">
        <w:rPr>
          <w:rFonts w:ascii="標楷體" w:eastAsia="標楷體" w:hAnsi="標楷體" w:hint="eastAsia"/>
          <w:sz w:val="28"/>
        </w:rPr>
        <w:t>員人數三分之一，委員任期為二年，期滿得續聘（派）之。</w:t>
      </w:r>
      <w:r w:rsidR="00CC7C91" w:rsidRPr="00B21AC8">
        <w:rPr>
          <w:rFonts w:ascii="標楷體" w:eastAsia="標楷體" w:hAnsi="標楷體" w:hint="eastAsia"/>
          <w:sz w:val="28"/>
        </w:rPr>
        <w:t>但</w:t>
      </w:r>
      <w:r w:rsidRPr="00B21AC8">
        <w:rPr>
          <w:rFonts w:ascii="標楷體" w:eastAsia="標楷體" w:hAnsi="標楷體" w:hint="eastAsia"/>
          <w:sz w:val="28"/>
        </w:rPr>
        <w:t>機關團體代表職務調動或辭職者</w:t>
      </w:r>
      <w:r w:rsidR="00B27661" w:rsidRPr="00B21AC8">
        <w:rPr>
          <w:rFonts w:ascii="標楷體" w:eastAsia="標楷體" w:hAnsi="標楷體" w:hint="eastAsia"/>
          <w:sz w:val="28"/>
        </w:rPr>
        <w:t>應</w:t>
      </w:r>
      <w:r w:rsidRPr="00B21AC8">
        <w:rPr>
          <w:rFonts w:ascii="標楷體" w:eastAsia="標楷體" w:hAnsi="標楷體" w:hint="eastAsia"/>
          <w:sz w:val="28"/>
        </w:rPr>
        <w:t>隨時改聘（派）；其繼任委員之任期至原委員任期屆滿之日止。</w:t>
      </w:r>
    </w:p>
    <w:p w:rsidR="00B21AC8" w:rsidRDefault="009814D4" w:rsidP="00B21AC8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lastRenderedPageBreak/>
        <w:t>四、本委員會每六個月召開一次會議，必要時得召開</w:t>
      </w:r>
      <w:r w:rsidR="00B27661" w:rsidRPr="00B21AC8">
        <w:rPr>
          <w:rFonts w:ascii="標楷體" w:eastAsia="標楷體" w:hAnsi="標楷體" w:hint="eastAsia"/>
          <w:sz w:val="28"/>
        </w:rPr>
        <w:t>臨時</w:t>
      </w:r>
      <w:r w:rsidRPr="00B21AC8">
        <w:rPr>
          <w:rFonts w:ascii="標楷體" w:eastAsia="標楷體" w:hAnsi="標楷體" w:hint="eastAsia"/>
          <w:sz w:val="28"/>
        </w:rPr>
        <w:t>會議，由召集人擔任主席，召集人因故不能出席時，</w:t>
      </w:r>
      <w:r w:rsidR="00296CBF" w:rsidRPr="00B21AC8">
        <w:rPr>
          <w:rFonts w:ascii="標楷體" w:eastAsia="標楷體" w:hAnsi="標楷體" w:hint="eastAsia"/>
          <w:sz w:val="28"/>
        </w:rPr>
        <w:t>由副召集人代理；召集人及副召集人均不能出席時，</w:t>
      </w:r>
      <w:r w:rsidRPr="00B21AC8">
        <w:rPr>
          <w:rFonts w:ascii="標楷體" w:eastAsia="標楷體" w:hAnsi="標楷體" w:hint="eastAsia"/>
          <w:sz w:val="28"/>
        </w:rPr>
        <w:t>由召集人指定</w:t>
      </w:r>
      <w:r w:rsidR="00B27661" w:rsidRPr="00B21AC8">
        <w:rPr>
          <w:rFonts w:ascii="標楷體" w:eastAsia="標楷體" w:hAnsi="標楷體" w:hint="eastAsia"/>
          <w:sz w:val="28"/>
        </w:rPr>
        <w:t>委員</w:t>
      </w:r>
      <w:r w:rsidRPr="00B21AC8">
        <w:rPr>
          <w:rFonts w:ascii="標楷體" w:eastAsia="標楷體" w:hAnsi="標楷體" w:hint="eastAsia"/>
          <w:sz w:val="28"/>
        </w:rPr>
        <w:t>或出席委員互選一人代理主席。</w:t>
      </w:r>
    </w:p>
    <w:p w:rsidR="009814D4" w:rsidRPr="00B21AC8" w:rsidRDefault="009814D4" w:rsidP="00B21AC8">
      <w:pPr>
        <w:spacing w:line="460" w:lineRule="exact"/>
        <w:ind w:leftChars="250" w:left="60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本委員會應有委員二分之一以上出席始得開會，並得邀請相關機關或人員列席說明</w:t>
      </w:r>
      <w:r w:rsidR="00DB4D5F" w:rsidRPr="00B21AC8">
        <w:rPr>
          <w:rFonts w:ascii="標楷體" w:eastAsia="標楷體" w:hAnsi="標楷體" w:hint="eastAsia"/>
          <w:sz w:val="28"/>
        </w:rPr>
        <w:t>，</w:t>
      </w:r>
      <w:r w:rsidR="00DB4D5F" w:rsidRPr="00B21AC8">
        <w:rPr>
          <w:rFonts w:ascii="標楷體" w:eastAsia="標楷體" w:hAnsi="標楷體"/>
          <w:sz w:val="28"/>
        </w:rPr>
        <w:t>決議事項應有出席委員過半數之同意行之</w:t>
      </w:r>
      <w:r w:rsidR="00DB4D5F" w:rsidRPr="00B21AC8">
        <w:rPr>
          <w:rFonts w:ascii="標楷體" w:eastAsia="標楷體" w:hAnsi="標楷體" w:hint="eastAsia"/>
          <w:sz w:val="28"/>
        </w:rPr>
        <w:t>。</w:t>
      </w:r>
    </w:p>
    <w:p w:rsidR="009814D4" w:rsidRPr="00B21AC8" w:rsidRDefault="009814D4" w:rsidP="00B21AC8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五、本委員會得由召集人指派三至六名委員審議不適任托育人員之</w:t>
      </w:r>
      <w:r w:rsidR="00B27661" w:rsidRPr="00B21AC8">
        <w:rPr>
          <w:rFonts w:ascii="標楷體" w:eastAsia="標楷體" w:hAnsi="標楷體" w:hint="eastAsia"/>
          <w:sz w:val="28"/>
        </w:rPr>
        <w:t>登記資格、退場</w:t>
      </w:r>
      <w:r w:rsidRPr="00B21AC8">
        <w:rPr>
          <w:rFonts w:ascii="標楷體" w:eastAsia="標楷體" w:hAnsi="標楷體" w:hint="eastAsia"/>
          <w:sz w:val="28"/>
        </w:rPr>
        <w:t>機制及托育服務收退費事宜。</w:t>
      </w:r>
    </w:p>
    <w:p w:rsidR="009814D4" w:rsidRPr="00B21AC8" w:rsidRDefault="009814D4" w:rsidP="00B21AC8">
      <w:pPr>
        <w:spacing w:line="460" w:lineRule="exact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六、本委員會對外行文，以本府名義行之。</w:t>
      </w:r>
    </w:p>
    <w:p w:rsidR="009814D4" w:rsidRPr="00B21AC8" w:rsidRDefault="009814D4" w:rsidP="00B21AC8">
      <w:pPr>
        <w:spacing w:line="460" w:lineRule="exact"/>
        <w:rPr>
          <w:rFonts w:ascii="標楷體" w:eastAsia="標楷體" w:hAnsi="標楷體"/>
          <w:sz w:val="28"/>
        </w:rPr>
      </w:pPr>
      <w:r w:rsidRPr="00B21AC8">
        <w:rPr>
          <w:rFonts w:ascii="標楷體" w:eastAsia="標楷體" w:hAnsi="標楷體" w:hint="eastAsia"/>
          <w:sz w:val="28"/>
        </w:rPr>
        <w:t>七、本委員會兼任</w:t>
      </w:r>
      <w:r w:rsidR="00F93FC6" w:rsidRPr="00B21AC8">
        <w:rPr>
          <w:rFonts w:ascii="標楷體" w:eastAsia="標楷體" w:hAnsi="標楷體" w:hint="eastAsia"/>
          <w:sz w:val="28"/>
        </w:rPr>
        <w:t>人員均為無給職</w:t>
      </w:r>
      <w:r w:rsidRPr="00B21AC8">
        <w:rPr>
          <w:rFonts w:ascii="標楷體" w:eastAsia="標楷體" w:hAnsi="標楷體" w:hint="eastAsia"/>
          <w:sz w:val="28"/>
        </w:rPr>
        <w:t>。</w:t>
      </w:r>
    </w:p>
    <w:p w:rsidR="0086520A" w:rsidRPr="00B21AC8" w:rsidRDefault="009814D4" w:rsidP="00B21AC8">
      <w:pPr>
        <w:spacing w:line="460" w:lineRule="exact"/>
        <w:rPr>
          <w:rFonts w:ascii="標楷體" w:eastAsia="標楷體" w:hAnsi="標楷體"/>
          <w:sz w:val="28"/>
          <w:u w:val="single"/>
        </w:rPr>
      </w:pPr>
      <w:r w:rsidRPr="00B21AC8">
        <w:rPr>
          <w:rFonts w:ascii="標楷體" w:eastAsia="標楷體" w:hAnsi="標楷體" w:hint="eastAsia"/>
          <w:sz w:val="28"/>
        </w:rPr>
        <w:t>八、本委員會所需經費，由本府社會局編列相關預算支應。</w:t>
      </w:r>
    </w:p>
    <w:sectPr w:rsidR="0086520A" w:rsidRPr="00B21AC8" w:rsidSect="00E6297C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95" w:rsidRDefault="00AB3A95" w:rsidP="006E02F3">
      <w:r>
        <w:separator/>
      </w:r>
    </w:p>
  </w:endnote>
  <w:endnote w:type="continuationSeparator" w:id="0">
    <w:p w:rsidR="00AB3A95" w:rsidRDefault="00AB3A95" w:rsidP="006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95" w:rsidRDefault="00AB3A95" w:rsidP="006E02F3">
      <w:r>
        <w:separator/>
      </w:r>
    </w:p>
  </w:footnote>
  <w:footnote w:type="continuationSeparator" w:id="0">
    <w:p w:rsidR="00AB3A95" w:rsidRDefault="00AB3A95" w:rsidP="006E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80E"/>
    <w:multiLevelType w:val="hybridMultilevel"/>
    <w:tmpl w:val="7F2414C0"/>
    <w:lvl w:ilvl="0" w:tplc="3E4A0C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3511EE"/>
    <w:multiLevelType w:val="hybridMultilevel"/>
    <w:tmpl w:val="8EFA9FDA"/>
    <w:lvl w:ilvl="0" w:tplc="F9CA74D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C"/>
    <w:rsid w:val="0000112D"/>
    <w:rsid w:val="00002EF9"/>
    <w:rsid w:val="0000676D"/>
    <w:rsid w:val="0003090E"/>
    <w:rsid w:val="0004182C"/>
    <w:rsid w:val="00042867"/>
    <w:rsid w:val="00043CAC"/>
    <w:rsid w:val="000760AE"/>
    <w:rsid w:val="00093B40"/>
    <w:rsid w:val="000A20FF"/>
    <w:rsid w:val="001204F1"/>
    <w:rsid w:val="00123F0C"/>
    <w:rsid w:val="001514B4"/>
    <w:rsid w:val="00193CC1"/>
    <w:rsid w:val="001A7B33"/>
    <w:rsid w:val="001F63FE"/>
    <w:rsid w:val="00203924"/>
    <w:rsid w:val="002243F9"/>
    <w:rsid w:val="00230C48"/>
    <w:rsid w:val="00235F31"/>
    <w:rsid w:val="00260107"/>
    <w:rsid w:val="00260C32"/>
    <w:rsid w:val="00281C75"/>
    <w:rsid w:val="00296CBF"/>
    <w:rsid w:val="002C16F1"/>
    <w:rsid w:val="002F5ECE"/>
    <w:rsid w:val="003228B3"/>
    <w:rsid w:val="00322FEB"/>
    <w:rsid w:val="003534CF"/>
    <w:rsid w:val="0036147E"/>
    <w:rsid w:val="00363330"/>
    <w:rsid w:val="003A0798"/>
    <w:rsid w:val="003C24FA"/>
    <w:rsid w:val="00402EE1"/>
    <w:rsid w:val="00486C77"/>
    <w:rsid w:val="004A31B3"/>
    <w:rsid w:val="004B1023"/>
    <w:rsid w:val="004C7B6C"/>
    <w:rsid w:val="00506042"/>
    <w:rsid w:val="005100EE"/>
    <w:rsid w:val="005272E2"/>
    <w:rsid w:val="00541428"/>
    <w:rsid w:val="0059055C"/>
    <w:rsid w:val="005D2A24"/>
    <w:rsid w:val="005F1766"/>
    <w:rsid w:val="0060470C"/>
    <w:rsid w:val="006255C2"/>
    <w:rsid w:val="00655BA7"/>
    <w:rsid w:val="006726F4"/>
    <w:rsid w:val="006979D9"/>
    <w:rsid w:val="006A1164"/>
    <w:rsid w:val="006B70A9"/>
    <w:rsid w:val="006C407B"/>
    <w:rsid w:val="006E02F3"/>
    <w:rsid w:val="006E67FA"/>
    <w:rsid w:val="00700AC6"/>
    <w:rsid w:val="007050AB"/>
    <w:rsid w:val="00741520"/>
    <w:rsid w:val="00771A6C"/>
    <w:rsid w:val="007B472C"/>
    <w:rsid w:val="007D484F"/>
    <w:rsid w:val="007E058B"/>
    <w:rsid w:val="00807ADA"/>
    <w:rsid w:val="0081121F"/>
    <w:rsid w:val="00851328"/>
    <w:rsid w:val="008524BA"/>
    <w:rsid w:val="00861013"/>
    <w:rsid w:val="0086309A"/>
    <w:rsid w:val="0086520A"/>
    <w:rsid w:val="00887E93"/>
    <w:rsid w:val="008D6B4A"/>
    <w:rsid w:val="008E6672"/>
    <w:rsid w:val="00912359"/>
    <w:rsid w:val="00920F86"/>
    <w:rsid w:val="00965C93"/>
    <w:rsid w:val="009814D4"/>
    <w:rsid w:val="00997667"/>
    <w:rsid w:val="009A1391"/>
    <w:rsid w:val="009D5B8F"/>
    <w:rsid w:val="009F2BA3"/>
    <w:rsid w:val="00A111E6"/>
    <w:rsid w:val="00A16FD5"/>
    <w:rsid w:val="00A40797"/>
    <w:rsid w:val="00A717F6"/>
    <w:rsid w:val="00A744C8"/>
    <w:rsid w:val="00A77D5A"/>
    <w:rsid w:val="00A81F66"/>
    <w:rsid w:val="00AA0BF4"/>
    <w:rsid w:val="00AB3A95"/>
    <w:rsid w:val="00AD0BEC"/>
    <w:rsid w:val="00AE31F2"/>
    <w:rsid w:val="00AE35AA"/>
    <w:rsid w:val="00B1453D"/>
    <w:rsid w:val="00B21AC8"/>
    <w:rsid w:val="00B27661"/>
    <w:rsid w:val="00B3526E"/>
    <w:rsid w:val="00B3733B"/>
    <w:rsid w:val="00B40FBE"/>
    <w:rsid w:val="00B55479"/>
    <w:rsid w:val="00B66C23"/>
    <w:rsid w:val="00B86262"/>
    <w:rsid w:val="00BE7A20"/>
    <w:rsid w:val="00C62D42"/>
    <w:rsid w:val="00C66870"/>
    <w:rsid w:val="00C75614"/>
    <w:rsid w:val="00C7609D"/>
    <w:rsid w:val="00C80052"/>
    <w:rsid w:val="00C9603A"/>
    <w:rsid w:val="00CA5D18"/>
    <w:rsid w:val="00CB08E9"/>
    <w:rsid w:val="00CC6B90"/>
    <w:rsid w:val="00CC7C91"/>
    <w:rsid w:val="00D506A6"/>
    <w:rsid w:val="00D55E95"/>
    <w:rsid w:val="00D61CC6"/>
    <w:rsid w:val="00D742AC"/>
    <w:rsid w:val="00D91DB3"/>
    <w:rsid w:val="00DA11D6"/>
    <w:rsid w:val="00DB19AD"/>
    <w:rsid w:val="00DB4D5F"/>
    <w:rsid w:val="00DC163E"/>
    <w:rsid w:val="00E317C1"/>
    <w:rsid w:val="00E33C32"/>
    <w:rsid w:val="00E52680"/>
    <w:rsid w:val="00E6297C"/>
    <w:rsid w:val="00F57888"/>
    <w:rsid w:val="00F73E91"/>
    <w:rsid w:val="00F851D2"/>
    <w:rsid w:val="00F90E78"/>
    <w:rsid w:val="00F93FC6"/>
    <w:rsid w:val="00FB0F6B"/>
    <w:rsid w:val="00FC5CF3"/>
    <w:rsid w:val="00FE0C11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9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02F3"/>
    <w:rPr>
      <w:kern w:val="2"/>
    </w:rPr>
  </w:style>
  <w:style w:type="paragraph" w:styleId="a5">
    <w:name w:val="footer"/>
    <w:basedOn w:val="a"/>
    <w:link w:val="a6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02F3"/>
    <w:rPr>
      <w:kern w:val="2"/>
    </w:rPr>
  </w:style>
  <w:style w:type="paragraph" w:customStyle="1" w:styleId="a7">
    <w:name w:val="一、"/>
    <w:basedOn w:val="a"/>
    <w:rsid w:val="0086520A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8">
    <w:name w:val="草案條文"/>
    <w:basedOn w:val="a"/>
    <w:qFormat/>
    <w:rsid w:val="00002EF9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customStyle="1" w:styleId="class73">
    <w:name w:val="class73"/>
    <w:basedOn w:val="a"/>
    <w:uiPriority w:val="99"/>
    <w:semiHidden/>
    <w:rsid w:val="00DB4D5F"/>
    <w:pPr>
      <w:widowControl/>
      <w:ind w:left="12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styleId="a9">
    <w:name w:val="annotation reference"/>
    <w:basedOn w:val="a0"/>
    <w:rsid w:val="00DB4D5F"/>
    <w:rPr>
      <w:sz w:val="18"/>
      <w:szCs w:val="18"/>
    </w:rPr>
  </w:style>
  <w:style w:type="paragraph" w:styleId="aa">
    <w:name w:val="annotation text"/>
    <w:basedOn w:val="a"/>
    <w:link w:val="ab"/>
    <w:rsid w:val="00DB4D5F"/>
  </w:style>
  <w:style w:type="character" w:customStyle="1" w:styleId="ab">
    <w:name w:val="註解文字 字元"/>
    <w:basedOn w:val="a0"/>
    <w:link w:val="aa"/>
    <w:rsid w:val="00DB4D5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B4D5F"/>
    <w:rPr>
      <w:b/>
      <w:bCs/>
    </w:rPr>
  </w:style>
  <w:style w:type="character" w:customStyle="1" w:styleId="ad">
    <w:name w:val="註解主旨 字元"/>
    <w:basedOn w:val="ab"/>
    <w:link w:val="ac"/>
    <w:rsid w:val="00DB4D5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B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B4D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A0B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9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02F3"/>
    <w:rPr>
      <w:kern w:val="2"/>
    </w:rPr>
  </w:style>
  <w:style w:type="paragraph" w:styleId="a5">
    <w:name w:val="footer"/>
    <w:basedOn w:val="a"/>
    <w:link w:val="a6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02F3"/>
    <w:rPr>
      <w:kern w:val="2"/>
    </w:rPr>
  </w:style>
  <w:style w:type="paragraph" w:customStyle="1" w:styleId="a7">
    <w:name w:val="一、"/>
    <w:basedOn w:val="a"/>
    <w:rsid w:val="0086520A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8">
    <w:name w:val="草案條文"/>
    <w:basedOn w:val="a"/>
    <w:qFormat/>
    <w:rsid w:val="00002EF9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customStyle="1" w:styleId="class73">
    <w:name w:val="class73"/>
    <w:basedOn w:val="a"/>
    <w:uiPriority w:val="99"/>
    <w:semiHidden/>
    <w:rsid w:val="00DB4D5F"/>
    <w:pPr>
      <w:widowControl/>
      <w:ind w:left="12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styleId="a9">
    <w:name w:val="annotation reference"/>
    <w:basedOn w:val="a0"/>
    <w:rsid w:val="00DB4D5F"/>
    <w:rPr>
      <w:sz w:val="18"/>
      <w:szCs w:val="18"/>
    </w:rPr>
  </w:style>
  <w:style w:type="paragraph" w:styleId="aa">
    <w:name w:val="annotation text"/>
    <w:basedOn w:val="a"/>
    <w:link w:val="ab"/>
    <w:rsid w:val="00DB4D5F"/>
  </w:style>
  <w:style w:type="character" w:customStyle="1" w:styleId="ab">
    <w:name w:val="註解文字 字元"/>
    <w:basedOn w:val="a0"/>
    <w:link w:val="aa"/>
    <w:rsid w:val="00DB4D5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B4D5F"/>
    <w:rPr>
      <w:b/>
      <w:bCs/>
    </w:rPr>
  </w:style>
  <w:style w:type="character" w:customStyle="1" w:styleId="ad">
    <w:name w:val="註解主旨 字元"/>
    <w:basedOn w:val="ab"/>
    <w:link w:val="ac"/>
    <w:rsid w:val="00DB4D5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B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B4D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A0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臺中市○○○○○○○○○○○○○要點總說明 </dc:title>
  <dc:creator>Administrator</dc:creator>
  <cp:lastModifiedBy>羅文惠</cp:lastModifiedBy>
  <cp:revision>2</cp:revision>
  <cp:lastPrinted>2015-06-02T09:23:00Z</cp:lastPrinted>
  <dcterms:created xsi:type="dcterms:W3CDTF">2015-06-30T00:57:00Z</dcterms:created>
  <dcterms:modified xsi:type="dcterms:W3CDTF">2015-06-30T00:57:00Z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-839877591</vt:i4>
  </property>
  <property fmtid="{D5CDD505-2E9C-101B-9397-08002B2CF9AE}" pid="3" name="_NewReviewCycle">
    <vt:lpwstr/>
  </property>
  <property fmtid="{D5CDD505-2E9C-101B-9397-08002B2CF9AE}" pid="4" name="_EmailSubject">
    <vt:lpwstr>求救(煩請提供案例)</vt:lpwstr>
  </property>
  <property fmtid="{D5CDD505-2E9C-101B-9397-08002B2CF9AE}" pid="5" name="_AuthorEmail">
    <vt:lpwstr>pojoe422@taichung.gov.tw</vt:lpwstr>
  </property>
  <property fmtid="{D5CDD505-2E9C-101B-9397-08002B2CF9AE}" pid="6" name="_AuthorEmailDisplayName">
    <vt:lpwstr>黃柏喬</vt:lpwstr>
  </property>
  <property fmtid="{D5CDD505-2E9C-101B-9397-08002B2CF9AE}" pid="7" name="_ReviewingToolsShownOnce">
    <vt:lpwstr/>
  </property>
</Properties>
</file>